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center"/>
        <w:tblLayout w:type="fixed"/>
        <w:tblLook w:val="0600"/>
      </w:tblPr>
      <w:tblGrid>
        <w:gridCol w:w="10575"/>
        <w:tblGridChange w:id="0">
          <w:tblGrid>
            <w:gridCol w:w="10575"/>
          </w:tblGrid>
        </w:tblGridChange>
      </w:tblGrid>
      <w:tr>
        <w:trPr>
          <w:cantSplit w:val="0"/>
          <w:trHeight w:val="386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c4587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Estudo Técnico Preliminar – ETP</w:t>
            </w:r>
          </w:p>
        </w:tc>
      </w:tr>
    </w:tbl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INSTRUÇÕES PARA PREENCHIMENTO DA MINUTA DO ESTUDO TÉCNICO PRELIMINAR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Orientações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Normas aplicáveis: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Lei Federal nº. 14.133, de 1º de abril de 2021.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Conceito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 ETP corresponde a documento constitutivo da primeira etapa do planejamento de uma contratação que caracteriza o interesse público envolvido e a sua melhor solução e dá base ao anteprojeto, ao termo de referência ou ao projeto básico a serem elaborados caso se conclua pela viabilidade da contratação. 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Quando fazer o ETP?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Regra: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conforme a Lei nº 14.133, de 2021, licitações para aquisições de bens e para a contratação de prestação de serviços, bem como as contratações diretas, deverão ser precedidas de Estudo Técnico Preliminar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Faculdade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elaboração: </w:t>
      </w:r>
    </w:p>
    <w:p w:rsidR="00000000" w:rsidDel="00000000" w:rsidP="00000000" w:rsidRDefault="00000000" w:rsidRPr="00000000" w14:paraId="00000012">
      <w:pPr>
        <w:ind w:left="226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 - contratação direta por dispensa de licitação, nos casos previstos nos incisos I, II e III do art. 75 da Lei Federal nº 14.133, de 2021;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26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II - contratação de licitante remanescente, nos termos do § 7º do art. 90 da Lei Federal nº 14.133, de 2021;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26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III - casos de guerra, estado de defesa, estado de sítio, intervenção federal ou de grave perturbação da ordem, conforme inciso VII do art. 75 da Lei federal nº 14.133, de 2021;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268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IV - emergência ou calamidade pública, conforme inciso VIII do art. 75 da Lei Federal nº 14.133, de 2021.</w:t>
      </w:r>
    </w:p>
    <w:p w:rsidR="00000000" w:rsidDel="00000000" w:rsidP="00000000" w:rsidRDefault="00000000" w:rsidRPr="00000000" w14:paraId="00000016">
      <w:pPr>
        <w:ind w:left="226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Conteúdo do ETP: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Obrigatório: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ETP deverá conter ao menos os elementos previstos nos itens 2, 5, 7, 10, 15 (incisos I, IV, VI, VIII e XIII do § 1º do art. 18 da Lei Federal nº 14.1333, de 2021).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Demais elementos: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quando não forem contemplados, deve-se apresentar as justificativas.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Responsáveis pela Assinatura: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Equipe que planejou a contratação e da chefia imediata.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color w:val="4f81b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4f81bd"/>
          <w:sz w:val="22"/>
          <w:szCs w:val="22"/>
          <w:rtl w:val="0"/>
        </w:rPr>
        <w:t xml:space="preserve">*Os tópicos dessa minuta receberam notas explicativas destacadas para compreensão do agente ou setor responsável pela elaboração do estudo, que deverão ser suprimidas quando da finalização do documento.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color w:val="4f81b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4f81bd"/>
          <w:sz w:val="22"/>
          <w:szCs w:val="22"/>
          <w:rtl w:val="0"/>
        </w:rPr>
        <w:t xml:space="preserve">Esse texto em azul não integra a redação final da minuta e deve ser excluído, assim como todos os comentários destacados ao longo do documento. 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4f81b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color w:val="4f81b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3.0" w:type="dxa"/>
        <w:jc w:val="center"/>
        <w:tblLayout w:type="fixed"/>
        <w:tblLook w:val="0600"/>
      </w:tblPr>
      <w:tblGrid>
        <w:gridCol w:w="9773"/>
        <w:tblGridChange w:id="0">
          <w:tblGrid>
            <w:gridCol w:w="9773"/>
          </w:tblGrid>
        </w:tblGridChange>
      </w:tblGrid>
      <w:tr>
        <w:trPr>
          <w:cantSplit w:val="0"/>
          <w:trHeight w:val="386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c4587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Estudo Técnico Preliminar - ETP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615.0" w:type="dxa"/>
        <w:jc w:val="center"/>
        <w:tblLayout w:type="fixed"/>
        <w:tblLook w:val="0400"/>
      </w:tblPr>
      <w:tblGrid>
        <w:gridCol w:w="3615"/>
        <w:tblGridChange w:id="0">
          <w:tblGrid>
            <w:gridCol w:w="36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I – INFORMAÇÕES GERAIS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7.0" w:type="dxa"/>
        <w:jc w:val="center"/>
        <w:tblLayout w:type="fixed"/>
        <w:tblLook w:val="0400"/>
      </w:tblPr>
      <w:tblGrid>
        <w:gridCol w:w="9627"/>
        <w:tblGridChange w:id="0">
          <w:tblGrid>
            <w:gridCol w:w="9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1. Equipe de Planejamento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40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350"/>
              <w:gridCol w:w="2350"/>
              <w:gridCol w:w="2350"/>
              <w:gridCol w:w="2350"/>
              <w:tblGridChange w:id="0">
                <w:tblGrid>
                  <w:gridCol w:w="2350"/>
                  <w:gridCol w:w="2350"/>
                  <w:gridCol w:w="2350"/>
                  <w:gridCol w:w="23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widowControl w:val="1"/>
                    <w:spacing w:after="0" w:before="0" w:lineRule="auto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Nome</w:t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widowControl w:val="1"/>
                    <w:spacing w:after="0" w:before="0" w:lineRule="auto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Cargo/função</w:t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widowControl w:val="1"/>
                    <w:spacing w:after="0" w:before="0" w:lineRule="auto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Matrícula</w:t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widowControl w:val="1"/>
                    <w:spacing w:after="0" w:before="0" w:lineRule="auto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E-mail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E">
                  <w:pPr>
                    <w:widowControl w:val="1"/>
                    <w:spacing w:after="0" w:before="0" w:lineRule="auto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widowControl w:val="1"/>
                    <w:spacing w:after="0" w:before="0" w:lineRule="auto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widowControl w:val="1"/>
                    <w:spacing w:after="0" w:before="0" w:lineRule="auto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widowControl w:val="1"/>
                    <w:spacing w:after="0" w:before="0" w:lineRule="auto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2">
                  <w:pPr>
                    <w:widowControl w:val="1"/>
                    <w:spacing w:after="0" w:before="0" w:lineRule="auto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3">
                  <w:pPr>
                    <w:widowControl w:val="1"/>
                    <w:spacing w:after="0" w:before="0" w:lineRule="auto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widowControl w:val="1"/>
                    <w:spacing w:after="0" w:before="0" w:lineRule="auto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widowControl w:val="1"/>
                    <w:spacing w:after="0" w:before="0" w:lineRule="auto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3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085"/>
              <w:gridCol w:w="7305"/>
              <w:tblGridChange w:id="0">
                <w:tblGrid>
                  <w:gridCol w:w="2085"/>
                  <w:gridCol w:w="73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39">
                  <w:pPr>
                    <w:widowControl w:val="0"/>
                    <w:rPr>
                      <w:rFonts w:ascii="Arial" w:cs="Arial" w:eastAsia="Arial" w:hAnsi="Arial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2"/>
                      <w:szCs w:val="22"/>
                      <w:rtl w:val="0"/>
                    </w:rPr>
                    <w:t xml:space="preserve">FINALIDADE: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before="39" w:lineRule="auto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  ☐ Aquisição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2"/>
                      <w:szCs w:val="22"/>
                      <w:rtl w:val="0"/>
                    </w:rPr>
                    <w:t xml:space="preserve">                                         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 Software</w:t>
                  </w:r>
                </w:p>
                <w:p w:rsidR="00000000" w:rsidDel="00000000" w:rsidP="00000000" w:rsidRDefault="00000000" w:rsidRPr="00000000" w14:paraId="0000003B">
                  <w:pPr>
                    <w:widowControl w:val="0"/>
                    <w:spacing w:before="39" w:lineRule="auto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  ☐ Contratação                                     ☐ Hardware</w:t>
                  </w:r>
                </w:p>
                <w:p w:rsidR="00000000" w:rsidDel="00000000" w:rsidP="00000000" w:rsidRDefault="00000000" w:rsidRPr="00000000" w14:paraId="0000003C">
                  <w:pPr>
                    <w:widowControl w:val="0"/>
                    <w:spacing w:before="52" w:lineRule="auto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  ☐ Licenciamento                                 ☐ Serviços</w:t>
                  </w:r>
                </w:p>
                <w:p w:rsidR="00000000" w:rsidDel="00000000" w:rsidP="00000000" w:rsidRDefault="00000000" w:rsidRPr="00000000" w14:paraId="0000003D">
                  <w:pPr>
                    <w:widowControl w:val="0"/>
                    <w:spacing w:before="52" w:lineRule="auto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  ☐ Aditamento                                      ☐  Rede</w:t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spacing w:before="52" w:lineRule="auto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2"/>
                      <w:szCs w:val="22"/>
                      <w:rtl w:val="0"/>
                    </w:rPr>
                    <w:t xml:space="preserve">  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 Desenvolvimento de Sistemas      ☐ Outros</w:t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 O ETP deverá ser elaborado conjuntamente por integrantes das áreas solicitante e técnica. Os integrantes das áreas técnica e solicitante, quando for o caso, considerando a complexidade do problema a ser analisado no ETP, poderão solicitar apoio técnico de colaboradores de outras unidades, órgãos ou entidades que detenham competências específicas exigidas para a confecção do documento.</w:t>
            </w:r>
          </w:p>
          <w:p w:rsidR="00000000" w:rsidDel="00000000" w:rsidP="00000000" w:rsidRDefault="00000000" w:rsidRPr="00000000" w14:paraId="00000042">
            <w:pPr>
              <w:widowControl w:val="0"/>
              <w:ind w:left="196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Nos casos em que o órgão ou entidade não possuir quadro de colaboradores suficientes ou aptos, inviabilizando a elaboração conjunta do ETP, será permitida sua confecção de forma individual ou a contratação de terceiro, profissional especializado que preste assessoria técnica, e que auxilie na elaboração do instrumento, observados os impedimentos dispostos no art. 9º da Lei Federal nº 14.133, de 2021, e desde que devidamente justificada a circunstância. (Art. 10).</w:t>
            </w:r>
          </w:p>
          <w:p w:rsidR="00000000" w:rsidDel="00000000" w:rsidP="00000000" w:rsidRDefault="00000000" w:rsidRPr="00000000" w14:paraId="00000043">
            <w:pPr>
              <w:widowControl w:val="0"/>
              <w:ind w:left="196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hanging="2"/>
        <w:jc w:val="center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830.0" w:type="dxa"/>
        <w:jc w:val="center"/>
        <w:tblLayout w:type="fixed"/>
        <w:tblLook w:val="0400"/>
      </w:tblPr>
      <w:tblGrid>
        <w:gridCol w:w="4830"/>
        <w:tblGridChange w:id="0">
          <w:tblGrid>
            <w:gridCol w:w="4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II – DIAGNÓSTICO SITUAÇÃO ATUAL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7.0" w:type="dxa"/>
        <w:jc w:val="center"/>
        <w:tblLayout w:type="fixed"/>
        <w:tblLook w:val="0400"/>
      </w:tblPr>
      <w:tblGrid>
        <w:gridCol w:w="9627"/>
        <w:tblGridChange w:id="0">
          <w:tblGrid>
            <w:gridCol w:w="9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2"/>
              </w:numPr>
              <w:ind w:left="720" w:right="225" w:hanging="360"/>
              <w:jc w:val="both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Descrição do problema a ser resolvido ou da necessidade apresentada (art. 18, § 1º, I, da Lei Federal nº 14.133, de 2021).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(PREENCHIMENTO OBRIGATÓRIO)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ind w:left="196" w:firstLine="0"/>
              <w:jc w:val="both"/>
              <w:rPr>
                <w:rFonts w:ascii="Arial" w:cs="Arial" w:eastAsia="Arial" w:hAnsi="Arial"/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 ETP deverá evidenciar o problema a ser resolvido de modo a permitir a avaliação da viabilidade técnica e econômica da contratação, para tanto deve ser abordada aqui a situação atual, apontando o contexto do órgão/entidade, qual o problema/ interesse público a ser atendido, como o órgão/entidade vem lidando atualmente com esse problema, qual o valor já desprendido pela organização etc</w:t>
            </w:r>
            <w:r w:rsidDel="00000000" w:rsidR="00000000" w:rsidRPr="00000000">
              <w:rPr>
                <w:rFonts w:ascii="Arial" w:cs="Arial" w:eastAsia="Arial" w:hAnsi="Arial"/>
                <w:color w:val="548dd4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widowControl w:val="0"/>
              <w:ind w:left="19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3"/>
              </w:numPr>
              <w:ind w:left="720" w:right="225" w:hanging="360"/>
              <w:jc w:val="both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Demonstração da previsão da contratação com o Plano Anual de Compras (art. 18, § 1º, II, da Lei Federal nº 14.133, de 2021).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 Deverá ser demonstrado o alinhamento entre a potencial contratação e o planejamento do órgão/entidade a partir da previsão no Plano Anual de Compras.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4"/>
              </w:numPr>
              <w:ind w:left="720" w:hanging="360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Descrição dos requisitos da potencial contratação (art. 18, § 1º, III, da Lei Federal nº 14.133, de 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Deve-se descrever os requisitos necessários ao atendimento da demanda. e os padrões mínimos, de forma a permitir a seleção da proposta mais vantajosa.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Que requisitos são indispensáveis?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Exemplos: disponibilização de profissionais especializados, solução tecnológica, fornecimento de materiais, etc.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Quais são os padrões mínimos de qualidade?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Exemplos: especificações técnicas, necessidade de amostras, etc.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Qual a duração do contrato?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A duração servirá de base para apara que a análise de vantajosidade na contratação anual ou plurianual.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Estimativas das quantidades para contratação, acompanhadas de memórias de cálculo e dos documentos que lhe dão suporte (considerar interdependências com outras contratações, de modo a possibilitar economia de escala) (art. 18, § 1º, IV, da Lei Federal nº 14.133, de 2021).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 (PREENCHIMENTO OBRIGATÓRIO)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As quantidades devem ser estimadas com base em dados como série histórica de consumo, análise de tendência de queda ou alta. A justificativa deve ser acompanhada de documentos comprobatórios.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545.0" w:type="dxa"/>
        <w:jc w:val="center"/>
        <w:tblLayout w:type="fixed"/>
        <w:tblLook w:val="0400"/>
      </w:tblPr>
      <w:tblGrid>
        <w:gridCol w:w="4545"/>
        <w:tblGridChange w:id="0">
          <w:tblGrid>
            <w:gridCol w:w="4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III – PROSPECÇÃO DE SOLUÇÕES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7.0" w:type="dxa"/>
        <w:jc w:val="center"/>
        <w:tblLayout w:type="fixed"/>
        <w:tblLook w:val="0400"/>
      </w:tblPr>
      <w:tblGrid>
        <w:gridCol w:w="9627"/>
        <w:tblGridChange w:id="0">
          <w:tblGrid>
            <w:gridCol w:w="9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Levantamento mercadológico (que consiste na análise das alternativas possíveis, e justificativa técnica e econômica da escolha do tipo de solução a contratar) (art. 18, § 1º, V, da Lei Federal nº 14.133, de 2021).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 O levantamento mercadológico é a etapa onde se deve pesquisar e avaliar as alternativas possíveis de soluções para o problema descrito com o objetivo de identificar no mercado a existência de metodologias, tecnologias e soluções que melhor atendam às necessidades do órgão/entidade.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 pesquisa deve buscar o maior número de fontes possíveis, como contratações similares, pesquisa com fornecedores, publicações especializadas, consulta pública etc.</w:t>
            </w:r>
          </w:p>
          <w:p w:rsidR="00000000" w:rsidDel="00000000" w:rsidP="00000000" w:rsidRDefault="00000000" w:rsidRPr="00000000" w14:paraId="00000066">
            <w:pPr>
              <w:widowControl w:val="0"/>
              <w:ind w:left="196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Caso, após o levantamento do mercado, a quantidade de fornecedores for considerada restrita, deve-se verificar se os requisitos que limitam a participação são realmente indispensáveis, flexibilizando-os sempre que possível. (Art. 11 § 3º).</w:t>
            </w:r>
          </w:p>
          <w:p w:rsidR="00000000" w:rsidDel="00000000" w:rsidP="00000000" w:rsidRDefault="00000000" w:rsidRPr="00000000" w14:paraId="00000067">
            <w:pPr>
              <w:widowControl w:val="0"/>
              <w:ind w:left="196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Estimativa do valor da contratação (art. 18, § 1º, VI, da Lei Federal nº 14.133, de 2021).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(PREENCHIMENTO OBRIGATÓRIO)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 estimativa do valor da contratação busca avaliar a viabilidade econômica financeira da contratação, não devendo ser confundida com a pesquisa para elaboração de preço referência para a futura licitação.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 estimativa deve vir acompanhada de preços unitários referenciais, das memórias de cálculo e dos documentos que lhe dão suporte (poderão constar de peça sigilosa se o órgão/entidade optar por preservar o seu sigilo até a conclusão da licitação).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360" w:before="0" w:lineRule="auto"/>
              <w:ind w:left="19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Além do valor do objeto, devem ser avaliados custos adicionais que poderão advir da contratação, como peças, reformas, necessidade de contratação de pessoal,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Comparativo das soluções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 comparativo visa demonstrar as vantagens e desvantagens de cada uma das soluções a fim de sistematizar e subsidiar a tomada de decisão e deve trazer documentos comprobatórios da análise. 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 análise deve se basear, no mínimo, nos seguintes critérios: 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 - vantajosidade econômica, preferencialmente pela comparação do custo total das soluções propostas e da solução atual, quando for o caso;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II - ganhos de eficiência administrativa, pela economia de tempo, de recursos materiais e de pessoal;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III - continuidade sustentável do modelo de fornecimento do bem ou da prestação de serviço para a Administração;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IV - sustentabilidade social e ambiental, por meio da consideração de objetivos secundários da política de compras públicas;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 - incorporação de tecnologias que permitam ganhos de eficiência, exatidão, segurança, transparência, impessoalidade, padronização ou controle;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VI - possibilidade de compra ou de locação de bens, a serem avaliados os custos e os benefícios de cada opção para escolha da alternativa mais vantajosa; e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VII - opções menos onerosas à Administração, tais como chamamentos públicos de doação e permutas (Art. 17)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Em caso de possibilidade de compra ou locação de bens, devem ser avaliados os custos e os benefícios de cada opção para a escolha da alternativa mais vantajosa.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6663.000000000001" w:type="dxa"/>
              <w:jc w:val="left"/>
              <w:tblLayout w:type="fixed"/>
              <w:tblLook w:val="0400"/>
            </w:tblPr>
            <w:tblGrid>
              <w:gridCol w:w="1906"/>
              <w:gridCol w:w="1105"/>
              <w:gridCol w:w="1218"/>
              <w:gridCol w:w="1295"/>
              <w:gridCol w:w="1139"/>
              <w:tblGridChange w:id="0">
                <w:tblGrid>
                  <w:gridCol w:w="1906"/>
                  <w:gridCol w:w="1105"/>
                  <w:gridCol w:w="1218"/>
                  <w:gridCol w:w="1295"/>
                  <w:gridCol w:w="113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C">
                  <w:pPr>
                    <w:widowControl w:val="0"/>
                    <w:jc w:val="both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highlight w:val="lightGray"/>
                      <w:rtl w:val="0"/>
                    </w:rPr>
                    <w:t xml:space="preserve">Requisitos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D">
                  <w:pPr>
                    <w:widowControl w:val="0"/>
                    <w:jc w:val="both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highlight w:val="lightGray"/>
                      <w:rtl w:val="0"/>
                    </w:rPr>
                    <w:t xml:space="preserve">Solução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E">
                  <w:pPr>
                    <w:widowControl w:val="0"/>
                    <w:jc w:val="both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00"/>
                      <w:sz w:val="22"/>
                      <w:szCs w:val="22"/>
                      <w:highlight w:val="lightGray"/>
                      <w:rtl w:val="0"/>
                    </w:rPr>
                    <w:t xml:space="preserve">Solução 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F">
                  <w:pPr>
                    <w:widowControl w:val="0"/>
                    <w:jc w:val="both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00"/>
                      <w:sz w:val="22"/>
                      <w:szCs w:val="22"/>
                      <w:highlight w:val="lightGray"/>
                      <w:rtl w:val="0"/>
                    </w:rPr>
                    <w:t xml:space="preserve">Solução (...)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0">
                  <w:pPr>
                    <w:widowControl w:val="0"/>
                    <w:jc w:val="both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00"/>
                      <w:sz w:val="22"/>
                      <w:szCs w:val="22"/>
                      <w:highlight w:val="lightGray"/>
                      <w:rtl w:val="0"/>
                    </w:rPr>
                    <w:t xml:space="preserve">Solução 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1">
                  <w:pPr>
                    <w:widowControl w:val="0"/>
                    <w:jc w:val="both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highlight w:val="lightGray"/>
                      <w:rtl w:val="0"/>
                    </w:rPr>
                    <w:t xml:space="preserve">Requisito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2">
                  <w:pPr>
                    <w:widowControl w:val="0"/>
                    <w:jc w:val="both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highlight w:val="lightGray"/>
                      <w:rtl w:val="0"/>
                    </w:rPr>
                    <w:t xml:space="preserve">atende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3">
                  <w:pPr>
                    <w:widowControl w:val="0"/>
                    <w:jc w:val="both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00"/>
                      <w:sz w:val="22"/>
                      <w:szCs w:val="22"/>
                      <w:highlight w:val="lightGray"/>
                      <w:rtl w:val="0"/>
                    </w:rPr>
                    <w:t xml:space="preserve">não atende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4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5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6">
                  <w:pPr>
                    <w:widowControl w:val="0"/>
                    <w:jc w:val="both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highlight w:val="lightGray"/>
                      <w:rtl w:val="0"/>
                    </w:rPr>
                    <w:t xml:space="preserve">Requisito 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7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8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9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A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B">
                  <w:pPr>
                    <w:widowControl w:val="0"/>
                    <w:jc w:val="both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highlight w:val="lightGray"/>
                      <w:rtl w:val="0"/>
                    </w:rPr>
                    <w:t xml:space="preserve">Requisito (...)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C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D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E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F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0">
                  <w:pPr>
                    <w:widowControl w:val="0"/>
                    <w:jc w:val="both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highlight w:val="lightGray"/>
                      <w:rtl w:val="0"/>
                    </w:rPr>
                    <w:t xml:space="preserve">Requisito 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1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2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3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4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5">
                  <w:pPr>
                    <w:widowControl w:val="0"/>
                    <w:jc w:val="both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highlight w:val="lightGray"/>
                      <w:rtl w:val="0"/>
                    </w:rPr>
                    <w:t xml:space="preserve">Estimativa de valor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6">
                  <w:pPr>
                    <w:widowControl w:val="0"/>
                    <w:jc w:val="both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R$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7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8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9">
                  <w:pPr>
                    <w:widowControl w:val="0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A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Exemplo de quadro comparativo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after="24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tbl>
      <w:tblPr>
        <w:tblStyle w:val="Table12"/>
        <w:tblW w:w="3780.0" w:type="dxa"/>
        <w:jc w:val="center"/>
        <w:tblLayout w:type="fixed"/>
        <w:tblLook w:val="0400"/>
      </w:tblPr>
      <w:tblGrid>
        <w:gridCol w:w="3780"/>
        <w:tblGridChange w:id="0">
          <w:tblGrid>
            <w:gridCol w:w="37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IV – SOLUÇÃO ESCOLHIDA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27.0" w:type="dxa"/>
        <w:jc w:val="center"/>
        <w:tblLayout w:type="fixed"/>
        <w:tblLook w:val="0400"/>
      </w:tblPr>
      <w:tblGrid>
        <w:gridCol w:w="9627"/>
        <w:tblGridChange w:id="0">
          <w:tblGrid>
            <w:gridCol w:w="9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6"/>
              </w:numPr>
              <w:ind w:left="720" w:hanging="360"/>
              <w:jc w:val="both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Descrição da solução escolhida (art. 18, § 1º, VII, da Lei Federal nº 14.133, de 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 Descrever a solução escolhida com todos os elementos para que a contratação produza os resultados pretendidos pela administração. Trata-se da descrição da solução como um todo, inclusive das exigências relacionadas à manutenção e assistência técnica, quando for o caso. Deve-se mencionar se será uma aquisição de material ou contratação de um serviço, se será anual ou plurianual, se há necessidade de mais de uma contratação para viabilizar a solução, etc.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u w:val="single"/>
                <w:rtl w:val="0"/>
              </w:rPr>
              <w:t xml:space="preserve">Aspectos Técnicos: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120" w:lineRule="auto"/>
              <w:ind w:left="196" w:right="-33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120" w:lineRule="auto"/>
              <w:ind w:left="196" w:right="-33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u w:val="single"/>
                <w:rtl w:val="0"/>
              </w:rPr>
              <w:t xml:space="preserve">Segurança: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after="120" w:lineRule="auto"/>
              <w:ind w:right="-33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120" w:lineRule="auto"/>
              <w:ind w:right="-33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u w:val="single"/>
                <w:rtl w:val="0"/>
              </w:rPr>
              <w:t xml:space="preserve">Transferência de Tecnologia e garantias: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after="120" w:lineRule="auto"/>
              <w:ind w:right="-33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after="120" w:lineRule="auto"/>
              <w:ind w:right="-33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u w:val="single"/>
                <w:rtl w:val="0"/>
              </w:rPr>
              <w:t xml:space="preserve">Interoperabilidade / Sistemas Legados: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after="120" w:lineRule="auto"/>
              <w:ind w:right="-33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120" w:lineRule="auto"/>
              <w:ind w:right="-33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before="24" w:lineRule="auto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u w:val="single"/>
                <w:rtl w:val="0"/>
              </w:rPr>
              <w:t xml:space="preserve">Aspectos Gerais:</w:t>
            </w:r>
          </w:p>
          <w:p w:rsidR="00000000" w:rsidDel="00000000" w:rsidP="00000000" w:rsidRDefault="00000000" w:rsidRPr="00000000" w14:paraId="000000B0">
            <w:pPr>
              <w:widowControl w:val="0"/>
              <w:spacing w:before="24" w:lineRule="auto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before="24" w:lineRule="auto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before="24" w:lineRule="auto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before="24" w:lineRule="auto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Justificativas para o parcelamento ou não da contratação (art. 18, § 1º, VIII, da Lei Federal nº 14.133, de 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 (PREENCHIMENTO OBRIGATÓRIO)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Considerando que o parcelamento da solução é a regra, a contratação deve ser realizada por item sempre que o objeto for divisível, desde que se verifique não haver prejuízo para o conjunto da solução ou a perda de economia de escala.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 definição e o método para avaliar se o objeto é divisível, deve levar em consideração o mercado fornecedor, podendo ser parcelado caso a contratação nesses moldes assegure, concomitantemente: ser técnica e economicamente viável; que não haverá perda de escala e que haverá melhor aproveitamento do mercado e ampliação da competitividade.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360" w:before="0" w:lineRule="auto"/>
              <w:ind w:left="19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Em resumo, com base nos estudos no ETP, deve-se informar se a licitação será dividida em lotes ou em itens separados e justificar a decisão.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Contratações correlatas e/ou interdependentes (art. 18, § 1º, XI, da Lei Federal nº 14.133, de 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Contratações correlatas: aquela que guarda relação com a solução a ser contratada, interligando-se a ela, mas que não precisa, necessariamente, ser realizada para a completa satisfação da necessidade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Contratações interdependentes: aquela que precisa ser realizada juntamente com a solução a ser contratada para a completa satisfação da necessidade (Art. 18).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Descrever se há necessidade de contratações/aquisições correlatas. Realizar levantamento de ações necessárias para que a contratação surta seus efeitos, como por exemplo, capacitações, aquisições de materiais, reformas, dentre outros. Caso haja ações necessárias, juntar cronograma ao processo e incluir, no mapa de riscos, os riscos de a contratação fracassar caso as contratações correlatas ou interdependentes não ocorram em tempo hábil.</w:t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Providências a serem adotadas pela Administração previamente à celebração do contrato (art. 18, § 1º, X, da Lei Federal nº 14.133, de 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Identificar as ações necessárias para que a contratação surta seus efeitos, considerando os riscos de a contratação ser/estar prejudicada caso os ajustes não ocorram em tempo. Exemplo: necessidade de transição contratual com transferência de conhecimento, tecnologia e técnicas empregadas, necessidade de capacitação, necessidade de realocação de pessoal, etc.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9"/>
              </w:numPr>
              <w:ind w:left="720" w:hanging="360"/>
              <w:jc w:val="both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Possíveis impactos ambientais e respectivas medidas mitigadoras (art. 18, § 1º, XII, da Lei Federal nº 14.133, de 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Descrever os possíveis impactos ambientais e respectivas medidas de tratamento ou mitigadoras buscando sanar os riscos ambientais existentes, bem como avaliar se há possibilidade de inclusão de critérios de sustentabilidade na contratação.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10"/>
              </w:numPr>
              <w:ind w:left="720" w:hanging="360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Resultados pretendidos (art. 18, § 1º, IX, da Lei Federal nº 14.133, de 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Descrever de forma mensurável e realista os benefícios diretos e indiretos que o órgão/entidade busca com a contratação da solução, avaliando economicidade, eficiência, melhor aproveitamento dos recursos humanos, materiais e financeiros disponíveis, melhoria da qualidade de produtos ou serviços,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Posicionamento conclusivo sobre a adequação da contratação para o atendimento da necessidade a que se destina (art. 18, § 1º, XIII, da Lei Federal nº 14.133, de 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Nota: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 (PREENCHIMENTO OBRIGATÓRIO)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120" w:before="0" w:lineRule="auto"/>
              <w:ind w:left="196" w:right="-33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Realizar declaração sobre a viabilidade e a razoabilidade da solução escolhida pela equipe de planejamento.</w:t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Florianópolis, data da última assinatura.  </w:t>
      </w:r>
    </w:p>
    <w:p w:rsidR="00000000" w:rsidDel="00000000" w:rsidP="00000000" w:rsidRDefault="00000000" w:rsidRPr="00000000" w14:paraId="000000D3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4770.0" w:type="dxa"/>
        <w:jc w:val="center"/>
        <w:tblLayout w:type="fixed"/>
        <w:tblLook w:val="0000"/>
      </w:tblPr>
      <w:tblGrid>
        <w:gridCol w:w="4770"/>
        <w:tblGridChange w:id="0">
          <w:tblGrid>
            <w:gridCol w:w="4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6091" w:val="clear"/>
          </w:tcPr>
          <w:p w:rsidR="00000000" w:rsidDel="00000000" w:rsidP="00000000" w:rsidRDefault="00000000" w:rsidRPr="00000000" w14:paraId="000000D5">
            <w:pPr>
              <w:widowControl w:val="0"/>
              <w:ind w:hanging="2"/>
              <w:jc w:val="center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2"/>
                <w:szCs w:val="22"/>
                <w:rtl w:val="0"/>
              </w:rPr>
              <w:t xml:space="preserve">Equipe de Planejamento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widowControl w:val="0"/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D7">
            <w:pPr>
              <w:widowControl w:val="0"/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Matrícula:</w:t>
            </w:r>
          </w:p>
          <w:p w:rsidR="00000000" w:rsidDel="00000000" w:rsidP="00000000" w:rsidRDefault="00000000" w:rsidRPr="00000000" w14:paraId="000000D8">
            <w:pPr>
              <w:widowControl w:val="0"/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Função:</w:t>
            </w:r>
          </w:p>
          <w:p w:rsidR="00000000" w:rsidDel="00000000" w:rsidP="00000000" w:rsidRDefault="00000000" w:rsidRPr="00000000" w14:paraId="000000D9">
            <w:pPr>
              <w:widowControl w:val="0"/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(Assinado digitalmente)</w:t>
            </w:r>
          </w:p>
          <w:p w:rsidR="00000000" w:rsidDel="00000000" w:rsidP="00000000" w:rsidRDefault="00000000" w:rsidRPr="00000000" w14:paraId="000000DA">
            <w:pPr>
              <w:widowControl w:val="0"/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rtl w:val="0"/>
        </w:rPr>
        <w:t xml:space="preserve">Responsável pela Formalização da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276" w:top="1133" w:left="1418" w:right="851" w:header="720" w:footer="7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left" w:leader="none" w:pos="453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left" w:leader="none" w:pos="453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single"/>
        <w:shd w:fill="auto" w:val="clear"/>
        <w:vertAlign w:val="baseline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tbl>
    <w:tblPr>
      <w:tblStyle w:val="Table16"/>
      <w:tblW w:w="10410.0" w:type="dxa"/>
      <w:jc w:val="center"/>
      <w:tblLayout w:type="fixed"/>
      <w:tblLook w:val="0600"/>
    </w:tblPr>
    <w:tblGrid>
      <w:gridCol w:w="6227"/>
      <w:gridCol w:w="2848"/>
      <w:gridCol w:w="1335"/>
      <w:tblGridChange w:id="0">
        <w:tblGrid>
          <w:gridCol w:w="6227"/>
          <w:gridCol w:w="2848"/>
          <w:gridCol w:w="1335"/>
        </w:tblGrid>
      </w:tblGridChange>
    </w:tblGrid>
    <w:tr>
      <w:trPr>
        <w:cantSplit w:val="0"/>
        <w:trHeight w:val="368" w:hRule="atLeast"/>
        <w:tblHeader w:val="0"/>
      </w:trPr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shd w:fill="auto" w:val="clear"/>
        </w:tcPr>
        <w:p w:rsidR="00000000" w:rsidDel="00000000" w:rsidP="00000000" w:rsidRDefault="00000000" w:rsidRPr="00000000" w14:paraId="000000E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tabs>
              <w:tab w:val="left" w:leader="none" w:pos="453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Estudo Técnico Preliminar - ETPC</w:t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shd w:fill="auto" w:val="clear"/>
        </w:tcPr>
        <w:p w:rsidR="00000000" w:rsidDel="00000000" w:rsidP="00000000" w:rsidRDefault="00000000" w:rsidRPr="00000000" w14:paraId="000000E5">
          <w:pPr>
            <w:widowControl w:val="0"/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shd w:fill="auto" w:val="clear"/>
        </w:tcPr>
        <w:p w:rsidR="00000000" w:rsidDel="00000000" w:rsidP="00000000" w:rsidRDefault="00000000" w:rsidRPr="00000000" w14:paraId="000000E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left" w:leader="none" w:pos="453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single"/>
        <w:shd w:fill="auto" w:val="clear"/>
        <w:vertAlign w:val="baseline"/>
      </w:rPr>
    </w:pPr>
    <w:bookmarkStart w:colFirst="0" w:colLast="0" w:name="_1fob9te" w:id="2"/>
    <w:bookmarkEnd w:id="2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widowControl w:val="0"/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85726</wp:posOffset>
          </wp:positionH>
          <wp:positionV relativeFrom="paragraph">
            <wp:posOffset>123825</wp:posOffset>
          </wp:positionV>
          <wp:extent cx="752475" cy="8255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82550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5"/>
      <w:tblW w:w="9900.0" w:type="dxa"/>
      <w:jc w:val="left"/>
      <w:tblLayout w:type="fixed"/>
      <w:tblLook w:val="0400"/>
    </w:tblPr>
    <w:tblGrid>
      <w:gridCol w:w="1389"/>
      <w:gridCol w:w="8511"/>
      <w:tblGridChange w:id="0">
        <w:tblGrid>
          <w:gridCol w:w="1389"/>
          <w:gridCol w:w="8511"/>
        </w:tblGrid>
      </w:tblGridChange>
    </w:tblGrid>
    <w:tr>
      <w:trPr>
        <w:cantSplit w:val="0"/>
        <w:trHeight w:val="1185" w:hRule="atLeast"/>
        <w:tblHeader w:val="0"/>
      </w:trPr>
      <w:tc>
        <w:tcPr/>
        <w:p w:rsidR="00000000" w:rsidDel="00000000" w:rsidP="00000000" w:rsidRDefault="00000000" w:rsidRPr="00000000" w14:paraId="000000DD">
          <w:pPr>
            <w:widowControl w:val="0"/>
            <w:ind w:left="1133.8582677165355" w:right="65" w:firstLine="0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DE">
          <w:pPr>
            <w:widowControl w:val="0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ESTADO DE SANTA CATARINA</w:t>
          </w:r>
        </w:p>
        <w:p w:rsidR="00000000" w:rsidDel="00000000" w:rsidP="00000000" w:rsidRDefault="00000000" w:rsidRPr="00000000" w14:paraId="000000DF">
          <w:pPr>
            <w:widowControl w:val="0"/>
            <w:tabs>
              <w:tab w:val="center" w:leader="none" w:pos="7143"/>
              <w:tab w:val="right" w:leader="none" w:pos="14287"/>
            </w:tabs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SECRETARIA DE ESTADO </w:t>
          </w:r>
        </w:p>
        <w:p w:rsidR="00000000" w:rsidDel="00000000" w:rsidP="00000000" w:rsidRDefault="00000000" w:rsidRPr="00000000" w14:paraId="000000E0">
          <w:pPr>
            <w:widowControl w:val="0"/>
            <w:tabs>
              <w:tab w:val="center" w:leader="none" w:pos="7143"/>
              <w:tab w:val="right" w:leader="none" w:pos="14287"/>
            </w:tabs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1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8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9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0" w:firstLine="567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245" w:right="0" w:hanging="5245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36"/>
      </w:tabs>
      <w:spacing w:after="0" w:before="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119"/>
      </w:tabs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0.0" w:type="dxa"/>
        <w:left w:w="7.0" w:type="dxa"/>
        <w:bottom w:w="4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0.0" w:type="dxa"/>
        <w:left w:w="7.0" w:type="dxa"/>
        <w:bottom w:w="4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